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Programming languages are essential for software development.</w:t>
        <w:br/>
        <w:t>It is usually easier to code in "high-level" languages than in "low-level" ones.</w:t>
        <w:br/>
        <w:t>Normally the first step in debugging is to attempt to reproduce the problem.</w:t>
        <w:br/>
        <w:t>When debugging the problem in a GUI, the programmer can try to skip some user interaction from the original problem description and check if remaining actions are sufficient for bugs to appear.</w:t>
        <w:b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The following properties are among the most important:</w:t>
        <w:br/>
        <w:br/>
        <w:t xml:space="preserve"> In computer programming, readability refers to the ease with which a human reader can comprehend the purpose, control flow, and operation of source code.</w:t>
        <w:br/>
        <w:t>Some text editors such as Emacs allow GDB to be invoked through them, to provide a visual environment.</w:t>
        <w:br/>
        <w:t xml:space="preserve"> Some languages are very popular for particular kinds of applications, while some languages are regularly used to write many different kinds of applications.</w:t>
        <w:br/>
        <w:t xml:space="preserve"> Machine code was the language of early programs, written in the instruction set of the particular machine, often in binary notation.</w:t>
        <w:br/>
        <w:t>Languages form an approximate spectrum from "low-level" to "high-level"; "low-level" languages are typically more machine-oriented and faster to execute, whereas "high-level" languages are more abstract and easier to use but execute less quickly.</w:t>
        <w:br/>
        <w:t>The source code of a program is written in one or more languages that are intelligible to programmers, rather than machine code, which is directly executed by the central processing unit.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