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He gave the first description of cryptanalysis by frequency analysis, the earliest code-breaking algorithm.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Some text editors such as Emacs allow GDB to be invoked through them, to provide a visual environment.</w:t>
        <w:br/>
        <w:t>Text editors were also developed that allowed changes and corrections to be made much more easily than with punched cards.</w:t>
        <w:br/>
        <w:t xml:space="preserve"> Whatever the approach to development may be, the final program must satisfy some fundamental properties.</w:t>
        <w:br/>
        <w:t>Provided the functions in a library follow the appropriate run-time conventions (e.g., method of passing arguments), then these functions may be written in any other language.</w:t>
        <w:br/>
        <w:t>The source code of a program is written in one or more languages that are intelligible to programmers, rather than machine code, which is directly executed by the central processing unit.</w:t>
        <w:br/>
        <w:t>There are many approaches to the Software development process.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