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Some text editors such as Emacs allow GDB to be invoked through them, to provide a visual environment.</w:t>
        <w:br/>
        <w:t>Provided the functions in a library follow the appropriate run-time conventions (e.g., method of passing arguments), then these functions may be written in any other language.</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However, Charles Babbage had already written his first program for the Analytical Engine in 1837.</w:t>
        <w:br/>
        <w:t>For example, COBOL is still strong in corporate data centers often on large mainframe computers, Fortran in engineering applications, scripting languages in Web development, and C in embedded software.</w:t>
        <w:br/>
        <w:t>Some text editors such as Emacs allow GDB to be invoked through them, to provide a visual environment.</w:t>
        <w:br/>
        <w:t>This is interpreted into machine code.</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