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He gave the first description of cryptanalysis by frequency analysis, the earliest code-breaking algorithm.</w:t>
        <w:br/>
        <w:t>By the late 1960s, data storage devices and computer terminals became inexpensive enough that programs could be created by typing directly into the computers.</w:t>
        <w:br/>
        <w:t>Expert programmers are familiar with a variety of well-established algorithms and their respective complexities and use this knowledge to choose algorithms that are best suited to the circumstances.</w:t>
        <w:br/>
        <w:t>Provided the functions in a library follow the appropriate run-time conventions (e.g., method of passing arguments), then these functions may be written in any other language.</w:t>
        <w:br/>
        <w:t>In the 9th century, the Arab mathematician Al-Kindi described a cryptographic algorithm for deciphering encrypted code, in A Manuscript on Deciphering Cryptographic Messages.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To produce machine code, the source code must either be compiled or transpiled.</w:t>
        <w:br/>
        <w:t>In the 9th century, the Arab mathematician Al-Kindi described a cryptographic algorithm for deciphering encrypted code, in A Manuscript on Deciphering Cryptographic Messages.</w:t>
        <w:br/>
        <w:t>Compiling takes the source code from a low-level programming language and converts it into machine code.</w:t>
        <w:br/>
        <w:t>Transpiling on the other hand, takes the source-code from a high-level programming language and converts it into bytecode.</w:t>
        <w:br/>
        <w:t>Programming languages are essential for software development.</w:t>
        <w:br/>
        <w:t xml:space="preserve"> Code-breaking algorithms have also existed for centuries.</w:t>
        <w:br/>
        <w:t>They are the building blocks for all software, from the simplest applications to the most sophisticated ones.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