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gave the first description of cryptanalysis by frequency analysis, the earliest code-breaking algorithm.</w:t>
        <w:br/>
        <w:t>This is interpreted into machine 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However, Charles Babbage had already written his first program for the Analytical Engine in 1837.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For example, COBOL is still strong in corporate data centers often on large mainframe computers, Fortran in engineering applications, scripting languages in Web development, and C in embedded software.</w:t>
        <w:br/>
        <w:t>Techniques like Code refactoring can enhance readability.</w:t>
        <w:br/>
        <w:t>Techniques like Code refactoring can enhance readability.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Trial-and-error/divide-and-conquer is needed: the programmer will try to remove some parts of the original test case and check if the problem still exists.</w:t>
        <w:br/>
        <w:t>It is usually easier to code in "high-level" languages than in "low-level" ones.</w:t>
        <w:br/>
        <w:t xml:space="preserve"> After the bug is reproduced, the input of the program may need to be simplified to make it easier to debug.</w:t>
        <w:br/>
        <w:br/>
        <w:t>For this purpose, algorithms are classified into orders using so-called Big O notation, which expresses resource use, such as execution time or memory consumption, in terms of the size of an input.</w:t>
        <w:br/>
        <w:t>Transpiling on the other hand, takes the source-code from a high-level programming language and converts it into bytecode.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