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is usually easier to code in "high-level" languages than in "low-level" ones.</w:t>
        <w:br/>
        <w:t>Provided the functions in a library follow the appropriate run-time conventions (e.g., method of passing arguments), then these functions may be written in any other language.</w:t>
        <w:br/>
        <w:t>Compilers harnessed the power of computers to make programming easier by allowing programmers to specify calculations by entering a formula using infix notation.</w:t>
        <w:br/>
        <w:t>One approach popular for requirements analysis is Use Case analysis.</w:t>
        <w:br/>
        <w:t>However, readability is more than just programming style.</w:t>
        <w:br/>
        <w:t>It is usually easier to code in "high-level" languages than in "low-level" ones.</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Many applications use a mix of several languages in their construction and use.</w:t>
        <w:br/>
        <w:t>As early as the 9th century, a programmable music sequencer was invented by the Persian Banu Musa brothers, who described an automated mechanical flute player in the Book of Ingenious Devices.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