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For this purpose, algorithms are classified into orders using so-called Big O notation, which expresses resource use, such as execution time or memory consumption, in terms of the size of an input.</w:t>
        <w:br/>
        <w:t>A study found that a few simple readability transformations made code shorter and drastically reduced the time to understand it.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It is usually easier to code in "high-level" languages than in "low-level" ones.</w:t>
        <w:br/>
        <w:t>He gave the first description of cryptanalysis by frequency analysis, the earliest code-breaking algorithm.</w:t>
        <w:br/>
        <w:t>When debugging the problem in a GUI, the programmer can try to skip some user interaction from the original problem description and check if remaining actions are sufficient for bugs to appear.</w:t>
        <w:br/>
        <w:t>Normally the first step in debugging is to attempt to reproduce the problem.</w:t>
        <w:br/>
        <w:t>It affects the aspects of quality above, including portability, usability and most importantly maintainability.</w:t>
        <w:br/>
        <w:t>Also, specific user environment and usage history can make it difficult to reproduce the problem.</w:t>
        <w:br/>
        <w:t>The source code of a program is written in one or more languages that are intelligible to programmers, rather than machine code, which is directly executed by the central processing unit.</w:t>
        <w:br/>
        <w:t>A study found that a few simple readability transformations made code shorter and drastically reduced the time to understand it.</w:t>
        <w:br/>
        <w:t>Programming languages are essential for software development.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He gave the first description of cryptanalysis by frequency analysis, the earliest code-breaking algorithm.</w:t>
        <w:br/>
        <w:t>Trial-and-error/divide-and-conquer is needed: the programmer will try to remove some parts of the original test case and check if the problem still exists.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