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However, because an assembly language is little more than a different notation for a machine language,  two machines with different instruction sets also have different assembly languages.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Provided the functions in a library follow the appropriate run-time conventions (e.g., method of passing arguments), then these functions may be written in any other language.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Techniques like Code refactoring can enhance readability.</w:t>
        <w:br/>
        <w:t>Text editors were also developed that allowed changes and corrections to be made much more easily than with punched cards.</w:t>
        <w:br/>
        <w:t>Unreadable code often leads to bugs, inefficiencies, and duplicated code.</w:t>
        <w:br/>
        <w:t>However, because an assembly language is little more than a different notation for a machine language,  two machines with different instruction sets also have different assembly languages.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choice of language used is subject to many considerations, such as company policy, suitability to task, availability of third-party packages, or individual preference.</w:t>
        <w:br/>
        <w:t>One approach popular for requirements analysis is Use Case analysis.</w:t>
        <w:br/>
        <w:t>It is usually easier to code in "high-level" languages than in "low-level" ones.</w:t>
        <w:br/>
        <w:t>This can be a non-trivial task, for example as with parallel processes or some unusual software bugs.</w:t>
        <w:br/>
        <w:t>Integrated development environments (IDEs) aim to integrate all such help.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