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Techniques like Code refactoring can enhance readability.</w:t>
        <w:br/>
        <w:t>Expert programmers are familiar with a variety of well-established algorithms and their respective complexities and use this knowledge to choose algorithms that are best suited to the circumstances.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Also, specific user environment and usage history can make it difficult to reproduce the problem.</w:t>
        <w:br/>
        <w:t>Also, specific user environment and usage history can make it difficult to reproduce the problem.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Languages form an approximate spectrum from "low-level" to "high-level"; "low-level" languages are typically more machine-oriented and faster to execute, whereas "high-level" languages are more abstract and easier to use but execute less quickly.</w:t>
        <w:br/>
        <w:t xml:space="preserve"> The first computer program is generally dated to 1843, when mathematician Ada Lovelace published an algorithm to calculate a sequence of Bernoulli numbers, intended to be carried out by Charles Babbage's Analytical Engine.</w:t>
        <w:br/>
        <w:t xml:space="preserve"> Various visual programming languages have also been developed with the intent to resolve readability concerns by adopting non-traditional approaches to code structure and display.</w:t>
        <w:br/>
        <w:t>In 1801, the Jacquard loom could produce entirely different weaves by changing the "program" – a series of pasteboard cards with holes punched in them.</w:t>
        <w:br/>
        <w:t>Programming involves tasks such as analysis, generating algorithms, profiling algorithms' accuracy and resource consumption, and the implementation of algorithms (usually in a particular programming language, commonly referred to as coding).</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Scripting and breakpointing is also part of this process.</w:t>
        <w:br/>
        <w:t xml:space="preserve"> Programmable devices have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