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Techniques like Code refactoring can enhance readability.</w:t>
        <w:br/>
        <w:t>It affects the aspects of quality above, including portability, usability and most importantly maintainability.</w:t>
        <w:br/>
        <w:t>Provided the functions in a library follow the appropriate run-time conventions (e.g., method of passing arguments), then these functions may be written in any other language.</w:t>
        <w:br/>
        <w:t>It affects the aspects of quality above, including portability, usability and most importantly maintainability.</w:t>
        <w:br/>
        <w:t>Provided the functions in a library follow the appropriate run-time conventions (e.g., method of passing arguments), then these functions may be written in any other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Compiling takes the source code from a low-level programming language and converts it into machine code.</w:t>
        <w:br/>
        <w:t>A study found that a few simple readability transformations made code shorter and drastically reduced the time to understand it.</w:t>
        <w:br/>
        <w:t xml:space="preserve"> Popular modeling techniques include Object-Oriented Analysis and Design (OOAD) and Model-Driven Architecture (MDA).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