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Ideally, the programming language best suited for the task at hand will be selected.</w:t>
        <w:br/>
        <w:t>Many applications use a mix of several languages in their construction and use.</w:t>
        <w:br/>
        <w:t>Programming languages are essential for software development.</w:t>
        <w:br/>
        <w:t>The following properties are among the most important:</w:t>
        <w:br/>
        <w:br/>
        <w:t xml:space="preserve"> In computer programming, readability refers to the ease with which a human reader can comprehend the purpose, control flow, and operation of source code.</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The purpose of programming is to find a sequence of instructions that will automate the performance of a task (which can be as complex as an operating system) on a computer, often for solving a given problem.</w:t>
        <w:br/>
        <w:t xml:space="preserve"> Different programming languages support different styles of programming (called programming paradigms).</w:t>
        <w:br/>
        <w:t>Many factors, having little or nothing to do with the ability of the computer to efficiently compile and execute the code, contribute to readability.</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