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the 9th century, the Arab mathematician Al-Kindi described a cryptographic algorithm for deciphering encrypted code, in A Manuscript on Deciphering Cryptographic Messages.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