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applications use a mix of several languages in their construction and use.</w:t>
        <w:br/>
        <w:t>Compilers harnessed the power of computers to make programming easier by allowing programmers to specify calculations by entering a formula using infix notation.</w:t>
        <w:br/>
        <w:t>Many programmers use forms of Agile software development where the various stages of formal software development are more integrated together into short cycles that take a few weeks rather than years.</w:t>
        <w:br/>
        <w:t>Compilers harnessed the power of computers to make programming easier by allowing programmers to specify calculations by entering a formula using infix notation.</w:t>
        <w:br/>
        <w:t>In 1206, the Arab engineer Al-Jazari invented a programmable drum machine where a musical mechanical automaton could be made to play different rhythms and drum patterns, via pegs and cams.</w:t>
        <w:br/>
        <w:t>It is usually easier to code in "high-level" languages than in "low-level" ones.</w:t>
        <w:br/>
        <w:t>The Unified Modeling Language (UML) is a notation used for both the OOAD and MDA.</w:t>
        <w:br/>
        <w:t>In 1801, the Jacquard loom could produce entirely different weaves by changing the "program" – a series of pasteboard cards with holes punched in them.</w:t>
        <w:br/>
        <w:t>However, because an assembly language is little more than a different notation for a machine language,  two machines with different instruction sets also have different assembly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br/>
        <w:t>The choice of language used is subject to many considerations, such as company policy, suitability to task, availability of third-party packages, or individual preference.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