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Many applications use a mix of several languages in their construction and use.</w:t>
        <w:br/>
        <w:t>The source code of a program is written in one or more languages that are intelligible to programmers, rather than machine code, which is directly executed by the central processing unit.</w:t>
        <w:br/>
        <w:t>They are the building blocks for all software, from the simplest applications to the most sophisticated ones.</w:t>
        <w:br/>
        <w:t>By the late 1960s, data storage devices and computer terminals became inexpensive enough that programs could be created by typing directly into the computers.</w:t>
        <w:br/>
        <w:t>Ideally, the programming language best suited for the task at hand will be selected.</w:t>
        <w:br/>
        <w:t>It is usually easier to code in "high-level" languages than in "low-level" ones.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By the late 1960s, data storage devices and computer terminals became inexpensive enough that programs could be created by typing directly into the computers.</w:t>
        <w:br/>
        <w:t>However, because an assembly language is little more than a different notation for a machine language,  two machines with different instruction sets also have different assembly languages.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Different programming languages support different styles of programming (called programming paradigms).</w:t>
        <w:br/>
        <w:t xml:space="preserve"> Popular modeling techniques include Object-Oriented Analysis and Design (OOAD) and Model-Driven Architecture (MDA).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