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Provided the functions in a library follow the appropriate run-time conventions (e.g., method of passing arguments), then these functions may be written in any other language.</w:t>
        <w:br/>
        <w:t>The Unified Modeling Language (UML) is a notation used for both the OOAD and MDA.</w:t>
        <w:br/>
        <w:t>They are the building blocks for all software, from the simplest applications to the most sophisticated ones.</w:t>
        <w:br/>
        <w:t>One approach popular for requirements analysis is Use Case analysis.</w:t>
        <w:br/>
        <w:t>Trial-and-error/divide-and-conquer is needed: the programmer will try to remove some parts of the original test case and check if the problem still exists.</w:t>
        <w:br/>
        <w:t>However, because an assembly language is little more than a different notation for a machine language,  two machines with different instruction sets also have different assembly languages.</w:t>
        <w:br/>
        <w:t xml:space="preserve"> Programmable devices have existed for centuries.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 xml:space="preserve"> In the 1880s, Herman Hollerith invented the concept of storing data in machine-readable form.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