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They are the building blocks for all software, from the simplest applications to the most sophisticated ones.</w:t>
        <w:br/>
        <w:t>Expert programmers are familiar with a variety of well-established algorithms and their respective complexities and use this knowledge to choose algorithms that are best suited to the circumstances.</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When debugging the problem in a GUI, the programmer can try to skip some user interaction from the original problem description and check if remaining actions are sufficient for bugs to appear.</w:t>
        <w:br/>
        <w:t>Compiling takes the source code from a low-level programming language and converts it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 xml:space="preserve"> Various visual programming languages have also been developed with the intent to resolve readability concerns by adopting non-traditional approaches to code structure and display.</w:t>
        <w:br/>
        <w:t xml:space="preserve"> Machine code was the language of early programs, written in the instruction set of the particular machine, often in binary notation.</w:t>
        <w:br/>
        <w:t>By the late 1960s, data storage devices and computer terminals became inexpensive enough that programs could be created by typing directly into the computers.</w:t>
        <w:br/>
        <w:t xml:space="preserve"> The academic field and the engineering practice of computer programming are both largely concerned with discovering and implementing the most efficient algorithms for a given class of problems.</w:t>
        <w:br/>
        <w:t xml:space="preserve"> Various visual programming languages have also been developed with the intent to resolve readability concerns by adopting non-traditional approaches to code structure and display.</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