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 produce machine code, the source code must either be compiled or transpiled.</w:t>
        <w:br/>
        <w:t>Integrated development environments (IDEs) aim to integrate all such help.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Relatedly, software engineering combines engineering techniques and principles with software development.</w:t>
        <w:br/>
        <w:t>The source code of a program is written in one or more languages that are intelligible to programmers, rather than machine code, which is directly executed by the central processing unit.</w:t>
        <w:br/>
        <w:t>Transpiling on the other hand, takes the source-code from a high-level programming language and converts it into bytecode.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Also, specific user environment and usage history can make it difficult to reproduce the problem.</w:t>
        <w:br/>
        <w:t>Many applications use a mix of several languages in their construction and use.</w:t>
        <w:br/>
        <w:t>In 1801, the Jacquard loom could produce entirely different weaves by changing the "program" – a series of pasteboard cards with holes punched in them.</w:t>
        <w:br/>
        <w:t>Normally the first step in debugging is to attempt to reproduce the problem.</w:t>
        <w:br/>
        <w:t>Trial-and-error/divide-and-conquer is needed: the programmer will try to remove some parts of the original test case and check if the problem still exists.</w:t>
        <w:br/>
        <w:t xml:space="preserve"> A similar technique used for database design is Entity-Relationship Modeling (ER Modeling).</w:t>
        <w:br/>
        <w:t>However, readability is more than just programming style.</w:t>
        <w:br/>
        <w:t>Use of a static code analysis tool can help detect some possible problems.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