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Programming involves tasks such as analysis, generating algorithms, profiling algorithms' accuracy and resource consumption, and the implementation of algorithms (usually in a particular programming language, commonly referred to as coding).</w:t>
        <w:br/>
        <w:t>Some text editors such as Emacs allow GDB to be invoked through them, to provide a visual environment.</w:t>
        <w:br/>
        <w:t>In the 9th century, the Arab mathematician Al-Kindi described a cryptographic algorithm for deciphering encrypted code, in A Manuscript on Deciphering Cryptographic Messages.</w:t>
        <w:br/>
        <w:t>Compilers harnessed the power of computers to make programming easier by allowing programmers to specify calculations by entering a formula using infix notation.</w:t>
        <w:br/>
        <w:t>As early as the 9th century, a programmable music sequencer was invented by the Persian Banu Musa brothers, who described an automated mechanical flute player in the Book of Ingenious Devices.</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When debugging the problem in a GUI, the programmer can try to skip some user interaction from the original problem description and check if remaining actions are sufficient for bugs to appear.</w:t>
        <w:br/>
        <w:t>There are many approaches to the Software development process.</w:t>
        <w:br/>
        <w:t xml:space="preserve"> Programs were mostly entered using punched cards or paper tape.</w:t>
        <w:br/>
        <w:t>For example, COBOL is still strong in corporate data centers often on large mainframe computers, Fortran in engineering applications, scripting languages in Web development, and C in embedded software.</w:t>
        <w:br/>
        <w:t>Provided the functions in a library follow the appropriate run-time conventions (e.g., method of passing arguments), then these functions may be written in any other language.</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