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However, with the concept of the stored-program computer introduced in 1949, both programs and data were stored and manipulated in the same way in computer memory.</w:t>
        <w:br/>
        <w:t>Techniques like Code refactoring can enhance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By the late 1960s, data storage devices and computer terminals became inexpensive enough that programs could be created by typing directly into the computers.</w:t>
        <w:br/>
        <w:t>In 1206, the Arab engineer Al-Jazari invented a programmable drum machine where a musical mechanical automaton could be made to play different rhythms and drum patterns, via pegs and cams.</w:t>
        <w:br/>
        <w:t>By the late 1960s, data storage devices and computer terminals became inexpensive enough that programs could be created by typing directly into the computers.</w:t>
        <w:br/>
        <w:t>Integrated development environments (IDEs) aim to integrate all such help.</w:t>
        <w:br/>
        <w:t>One approach popular for requirements analysis is Use Case analysis.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Compilers harnessed the power of computers to make programming easier by allowing programmers to specify calculations by entering a formula using infix notation.</w:t>
        <w:br/>
        <w:t>Compilers harnessed the power of computers to make programming easier by allowing programmers to specify calculations by entering a formula using infix notation.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