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For example, when a bug in a compiler can make it crash when parsing some large source file, a simplification of the test case that results in only few lines from the original source file can be sufficient to reproduce the same crash.</w:t>
        <w:br/>
        <w:t>When debugging the problem in a GUI, the programmer can try to skip some user interaction from the original problem description and check if remaining actions are sufficient for bugs to appear.</w:t>
        <w:br/>
        <w:t>By the late 1960s, data storage devices and computer terminals became inexpensive enough that programs could be created by typing directly into the computers.</w:t>
        <w:br/>
        <w:t>This is interpreted into machine code.</w:t>
        <w:br/>
        <w:t>There are many approaches to the Software development process.</w:t>
        <w:br/>
        <w:t>Languages form an approximate spectrum from "low-level" to "high-level"; "low-level" languages are typically more machine-oriented and faster to execute, whereas "high-level" languages are more abstract and easier to use but execute less quickly.</w:t>
        <w:br/>
        <w:t>For this purpose, algorithms are classified into orders using so-called Big O notation, which expresses resource use, such as execution time or memory consumption, in terms of the size of an input.</w:t>
        <w:br/>
        <w:t>Use of a static code analysis tool can help detect some possible problems.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Ideally, the programming language best suited for the task at hand will be selected.</w:t>
        <w:br/>
        <w:t>This is interpreted into machine code.</w:t>
        <w:br/>
        <w:t>He gave the first description of cryptanalysis by frequency analysis, the earliest code-breaking algorithm.</w:t>
        <w:br/>
        <w:t xml:space="preserve"> Debugging is often done with IDEs. Standalone debuggers like GDB are also used, and these often provide less of a visual environment, usually using a command line.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