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Trade-offs from this ideal involve finding enough programmers who know the language to build a team, the availability of compilers for that language, and the efficiency with which programs written in a given language execute.</w:t>
        <w:br/>
        <w:t>However, readability is more than just programming style.</w:t>
        <w:br/>
        <w:t>Text editors were also developed that allowed changes and corrections to be made much more easily than with punched cards.</w:t>
        <w:br/>
        <w:t>Relatedly, software engineering combines engineering techniques and principles with software development.</w:t>
        <w:br/>
        <w:t>One approach popular for requirements analysis is Use Case analysis.</w:t>
        <w:br/>
        <w:t>Also, specific user environment and usage history can make it difficult to reproduce the problem.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Compiling takes the source code from a low-level programming language and converts it into machine code.</w:t>
        <w:br/>
        <w:t>The source code of a program is written in one or more languages that are intelligible to programmers, rather than machine code, which is directly executed by the central processing unit.</w:t>
        <w:br/>
        <w:t>Compiling takes the source code from a low-level programming language and converts it into machine code.</w:t>
        <w:br/>
        <w:br/>
        <w:t>The first compiler related tool, the A-0 System, was developed in 1952 by Grace Hopper, who also coined the term 'compiler'.</w:t>
        <w:br/>
        <w:t xml:space="preserve"> Some languages are very popular for particular kinds of applications, while some languages are regularly used to write many different kinds of applications.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 xml:space="preserve"> In the 1880s, Herman Hollerith invented the concept of storing data in machine-readable form.</w:t>
        <w:br/>
        <w:t>Techniques like Code refactoring can enhance readability.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