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Also, specific user environment and usage history can make it difficult to reproduce the problem.</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However, readability is more than just programming style.</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Compiling takes the source code from a low-level programming language and converts it into machine code.</w:t>
        <w:br/>
        <w:t>It is usually easier to code in "high-level" languages than in "low-level" ones.</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 xml:space="preserve"> Tasks accompanying and related to programming include testing, debugging, source code maintenance, implementation of build systems, and management of derived artifacts, such as the machine code of computer programs.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