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Compilers harnessed the power of computers to make programming easier by allowing programmers to specify calculations by entering a formula using infix notation.</w:t>
        <w:br/>
        <w:t>Trade-offs from this ideal involve finding enough programmers who know the language to build a team, the availability of compilers for that language, and the efficiency with which programs written in a given language execute.</w:t>
        <w:br/>
        <w:t>Integrated development environments (IDEs) aim to integrate all such help.</w:t>
        <w:b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However, readability is more than just programming style.</w:t>
        <w:br/>
        <w:t xml:space="preserve"> After the bug is reproduced, the input of the program may need to be simplified to make it easier to debug.</w:t>
        <w:br/>
        <w:t>This is interpreted into machine code.</w:t>
        <w:br/>
        <w:t>It is usually easier to code in "high-level" languages than in "low-level" ones.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