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When debugging the problem in a GUI, the programmer can try to skip some user interaction from the original problem description and check if remaining actions are sufficient for bugs to appear.</w:t>
        <w:br/>
        <w:t>Many factors, having little or nothing to do with the ability of the computer to efficiently compile and execute the code, contribute to readability.</w:t>
        <w:br/>
        <w:t>Use of a static code analysis tool can help detect some possible problems.</w:t>
        <w:br/>
        <w:t>Languages form an approximate spectrum from "low-level" to "high-level"; "low-level" languages are typically more machine-oriented and faster to execute, whereas "high-level" languages are more abstract and easier to use but execute less quickly.</w:t>
        <w:br/>
        <w:t>Some text editors such as Emacs allow GDB to be invoked through them, to provide a visual environment.</w:t>
        <w:br/>
        <w:t>This is interpreted into machine code.</w:t>
        <w:br/>
        <w:t>Scripting and breakpointing is also part of this process.</w:t>
        <w:br/>
        <w:t>Proficient programming thus usually requires expertise in several different subjects, including knowledge of the application domain, specialized algorithms, and formal logic.</w:t>
        <w:br/>
        <w:t>For example, COBOL is still strong in corporate data centers often on large mainframe computers, Fortran in engineering applications, scripting languages in Web development, and C in embedded software.</w:t>
        <w:br/>
        <w:t>Techniques like Code refactoring can enhance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Different programming languages support different styles of programming (called programming paradigms).</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