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To produce machine code, the source code must either be compiled or transpiled.</w:t>
        <w:br/>
        <w:t>This is interpreted into machine code.</w:t>
        <w:br/>
        <w:t>Use of a static code analysis tool can help detect some possible problems.</w:t>
        <w:br/>
        <w:t>This can be a non-trivial task, for example as with parallel processes or some unusual software bugs.</w:t>
        <w:br/>
        <w:t>To produce machine code, the source code must either be compiled or transpiled.</w:t>
        <w:br/>
        <w:t>For example, when a bug in a compiler can make it crash when parsing some large source file, a simplification of the test case that results in only few lines from the original source file can be sufficient to reproduce the same crash.</w:t>
        <w:br/>
        <w:t>The choice of language used is subject to many considerations, such as company policy, suitability to task, availability of third-party packages, or individual preference.</w:t>
        <w:br/>
        <w:t>Expert programmers are familiar with a variety of well-established algorithms and their respective complexities and use this knowledge to choose algorithms that are best suited to the circumstances.</w:t>
        <w:br/>
        <w:t>The source code of a program is written in one or more languages that are intelligible to programmers, rather than machine code, which is directly executed by the central processing unit.</w:t>
        <w:br/>
        <w:t>Text editors were also developed that allowed changes and corrections to be made much more easily than with punched cards.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source code of a program is written in one or more languages that are intelligible to programmers, rather than machine code, which is directly executed by the central processing unit.</w:t>
        <w:br/>
        <w:t xml:space="preserve"> Popular modeling techniques include Object-Oriented Analysis and Design (OOAD) and Model-Driven Architecture (MDA).</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