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because an assembly language is little more than a different notation for a machine language,  two machines with different instruction sets also have different assembly languages.</w:t>
        <w:br/>
        <w:t>They are the building blocks for all software, from the simplest applications to the most sophisticated ones.</w:t>
        <w:br/>
        <w:t>Many applications use a mix of several languages in their construction and use.</w:t>
        <w:br/>
        <w:t>This can be a non-trivial task, for example as with parallel processes or some unusual software bugs.</w:t>
        <w:br/>
        <w:t xml:space="preserve"> Programmable devices have existed for centuries.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Also, specific user environment and usage history can make it difficult to reproduce the problem.</w:t>
        <w:br/>
        <w:t>Integrated development environments (IDEs) aim to integrate all such help.</w:t>
        <w:br/>
        <w:t>By the late 1960s, data storage devices and computer terminals became inexpensive enough that programs could be created by typing directly into the computers.</w:t>
        <w:br/>
        <w:t>However, Charles Babbage had already written his first program for the Analytical Engine in 1837.</w:t>
        <w:br/>
        <w:t>Ideally, the programming language best suited for the task at hand will be selected.</w:t>
        <w:br/>
        <w:t>Scripting and breakpointing is also part of this process.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