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Text editors were also developed that allowed changes and corrections to be made much more easily than with punched cards.</w:t>
        <w:br/>
        <w:t>Compilers harnessed the power of computers to make programming easier by allowing programmers to specify calculations by entering a formula using infix notation.</w:t>
        <w:br/>
        <w:t>Use of a static code analysis tool can help detect some possible problems.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specific user environment and usage history can make it difficult to reproduce the problem.</w:t>
        <w:br/>
        <w:t>Many applications use a mix of several languages in their construction and use.</w:t>
        <w:br/>
        <w:t>For example, COBOL is still strong in corporate data centers often on large mainframe computers, Fortran in engineering applications, scripting languages in Web development, and C in embedded software.</w:t>
        <w:br/>
        <w:t>In the 9th century, the Arab mathematician Al-Kindi described a cryptographic algorithm for deciphering encrypted code, in A Manuscript on Deciphering Cryptographic Messages.</w:t>
        <w:br/>
        <w:t>In 1206, the Arab engineer Al-Jazari invented a programmable drum machine where a musical mechanical automaton could be made to play different rhythms and drum patterns, via pegs and cams.</w:t>
        <w:br/>
        <w:t>In the 9th century, the Arab mathematician Al-Kindi described a cryptographic algorithm for deciphering encrypted code, in A Manuscript on Deciphering Cryptographic Messages.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Compilers harnessed the power of computers to make programming easier by allowing programmers to specify calculations by entering a formula using infix notation.</w:t>
        <w:br/>
        <w:t>Some text editors such as Emacs allow GDB to be invoked through them, to provide a visual environment.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