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In 1801, the Jacquard loom could produce entirely different weaves by changing the "program" – a series of pasteboard cards with holes punched in them.</w:t>
        <w:br/>
        <w:t>Many programmers use forms of Agile software development where the various stages of formal software development are more integrated together into short cycles that take a few weeks rather than years.</w:t>
        <w:br/>
        <w:t>Some text editors such as Emacs allow GDB to be invoked through them, to provide a visual environment.</w:t>
        <w:br/>
        <w:t>For this purpose, algorithms are classified into orders using so-called Big O notation, which expresses resource use, such as execution time or memory consumption, in terms of the size of an input.</w:t>
        <w:br/>
        <w:t>For example, COBOL is still strong in corporate data centers often on large mainframe computers, Fortran in engineering applications, scripting languages in Web development, and C in embedded software.</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To produce machine code, the source code must either be compiled or transpiled.</w:t>
        <w:br/>
        <w:t>Also, specific user environment and usage history can make it difficult to reproduce the problem.</w:t>
        <w:br/>
        <w:t>Integrated development environments (IDEs) aim to integrate all such help.</w:t>
        <w:br/>
        <w:t xml:space="preserve"> Code-breaking algorithms have also existed for centuries.</w:t>
        <w:br/>
        <w:t>Techniques like Code refactoring can enhance readability.</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