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Text editors were also developed that allowed changes and corrections to be made much more easily than with punched cards.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with the concept of the stored-program computer introduced in 1949, both programs and data were stored and manipulated in the same way in computer memory.</w:t>
        <w:br/>
        <w:t>He gave the first description of cryptanalysis by frequency analysis, the earliest code-breaking algorithm.</w:t>
        <w:br/>
        <w:t>By the late 1960s, data storage devices and computer terminals became inexpensive enough that programs could be created by typing directly into the computers.</w:t>
        <w:br/>
        <w:t>Transpiling on the other hand, takes the source-code from a high-level programming language and converts it into bytecode.</w:t>
        <w:br/>
        <w:t>This is interpreted into machine code.</w:t>
        <w:br/>
        <w:t>Normally the first step in debugging is to attempt to reproduce the problem.</w:t>
        <w:br/>
        <w:t>Relatedly, software engineering combines engineering techniques and principles with software development.</w:t>
        <w:br/>
        <w:t>Transpiling on the other hand, takes the source-code from a high-level programming language and converts it into bytecode.</w:t>
        <w:br/>
        <w:t xml:space="preserve"> A similar technique used for database design is Entity-Relationship Modeling (ER Modeling).</w:t>
        <w:br/>
        <w:t>However, readability is more than just programming style.</w:t>
        <w:br/>
        <w:t>Transpiling on the other hand, takes the source-code from a high-level programming language and converts it into bytecode.</w:t>
        <w:br/>
        <w:t>However, with the concept of the stored-program computer introduced in 1949, both programs and data were stored and manipulated in the same way in computer memory.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