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Use of a static code analysis tool can help detect some possible problems.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 xml:space="preserve"> Following a consistent programming style often helps readability.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He gave the first description of cryptanalysis by frequency analysis, the earliest code-breaking algorithm.</w:t>
        <w:br/>
        <w:t>Expert programmers are familiar with a variety of well-established algorithms and their respective complexities and use this knowledge to choose algorithms that are best suited to the circumstances.</w:t>
        <w:br/>
        <w:t>Integrated development environments (IDEs) aim to integrate all such help.</w:t>
        <w:br/>
        <w:t xml:space="preserve"> Implementation techniques include imperative languages (object-oriented or procedural), functional languages, and logic languages.</w:t>
        <w:br/>
        <w:t>It affects the aspects of quality above, including portability, usability and most importantly maintainability.</w:t>
        <w:br/>
        <w:t>To produce machine code, the source code must either be compiled or transpiled.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