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It affects the aspects of quality above, including portability, usability and most importantly maintainability.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Some of these factors include:</w:t>
        <w:br/>
        <w:t xml:space="preserve"> The presentation aspects of this (such as indents, line breaks, color highlighting, and so on) are often handled by the source code editor, but the content aspects reflect the programmer's talent and skills.</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For example, COBOL is still strong in corporate data centers often on large mainframe computers, Fortran in engineering applications, scripting languages in Web development, and C in embedded software.</w:t>
        <w:br/>
        <w:t>When debugging the problem in a GUI, the programmer can try to skip some user interaction from the original problem description and check if remaining actions are sufficient for bugs to appear.</w:t>
        <w:br/>
        <w:t>Unreadable code often leads to bugs, inefficiencies, and duplicated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 study found that a few simple readability transformations made code shorter and drastically reduced the time to understand it.</w:t>
        <w:br/>
        <w:t xml:space="preserve"> Implementation techniques include imperative languages (object-oriented or procedural), functional languages, and logic languages.</w:t>
        <w:br/>
        <w:t xml:space="preserve"> Readability is important because programmers spend the majority of their time reading, trying to understand, reusing and modifying existing source code, rather than writing new source code.</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