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Unreadable code often leads to bugs, inefficiencies, and duplicated code.</w:t>
        <w:br/>
        <w:t>Also, specific user environment and usage history can make it difficult to reproduce the problem.</w:t>
        <w:br/>
        <w:t>To produce machine code, the source code must either be compiled or transpiled.</w:t>
        <w:br/>
        <w:t>Also, specific user environment and usage history can make it difficult to reproduce the problem.</w:t>
        <w:br/>
        <w:t>The choice of language used is subject to many considerations, such as company policy, suitability to task, availability of third-party packages, or individual preference.</w:t>
        <w:br/>
        <w:t>By the late 1960s, data storage devices and computer terminals became inexpensive enough that programs could be created by typing directly into the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Compiling takes the source code from a low-level programming language and converts it into machine code.</w:t>
        <w:br/>
        <w:t>Also, specific user environment and usage history can make it difficult to reproduce the problem.</w:t>
        <w:br/>
        <w:t>Programming languages are essential for software development.</w:t>
        <w:br/>
        <w:t>Many applications use a mix of several languages in their construction and use.</w:t>
        <w:br/>
        <w:t>Relatedly, software engineering combines engineering techniques and principles with software development.</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