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this purpose, algorithms are classified into orders using so-called Big O notation, which expresses resource use, such as execution time or memory consumption, in terms of the size of an input.</w:t>
        <w:br/>
        <w:t>Transpiling on the other hand, takes the source-code from a high-level programming language and converts it into bytecode.</w:t>
        <w:br/>
        <w:t>Many factors, having little or nothing to do with the ability of the computer to efficiently compile and execute the code, contribute to readability.</w:t>
        <w:br/>
        <w:t>Text editors were also developed that allowed changes and corrections to be made much more easily than with punched cards.</w:t>
        <w:br/>
        <w:t>This is interpreted into machine code.</w:t>
        <w:br/>
        <w:t>For example, when a bug in a compiler can make it crash when parsing some large source file, a simplification of the test case that results in only few lines from the original source file can be sufficient to reproduce the same crash.</w:t>
        <w:br/>
        <w:t>However, because an assembly language is little more than a different notation for a machine language,  two machines with different instruction sets also have different assembly languages.</w:t>
        <w:br/>
        <w:t>Use of a static code analysis tool can help detect some possible problems.</w:t>
        <w:br/>
        <w:t>When debugging the problem in a GUI, the programmer can try to skip some user interaction from the original problem description and check if remaining actions are sufficient for bugs to appear.</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 study found that a few simple readability transformations made code shorter and drastically reduced the time to understand it.</w:t>
        <w:br/>
        <w:t>However, with the concept of the stored-program computer introduced in 1949, both programs and data were stored and manipulated in the same way in computer memory.</w:t>
        <w:br/>
        <w:t>Many applications use a mix of several languages in their construction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