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One approach popular for requirements analysis is Use Case analysis.</w:t>
        <w:br/>
        <w:t>The choice of language used is subject to many considerations, such as company policy, suitability to task, availability of third-party packages, or individual preference.</w:t>
        <w:br/>
        <w:t>Compiling takes the source code from a low-level programming language and converts it into machine code.</w:t>
        <w:br/>
        <w:t>The choice of language used is subject to many considerations, such as company policy, suitability to task, availability of third-party packages, or individual preference.</w:t>
        <w:br/>
        <w:t>In 1206, the Arab engineer Al-Jazari invented a programmable drum machine where a musical mechanical automaton could be made to play different rhythms and drum patterns, via pegs and cams.</w:t>
        <w:br/>
        <w:t>There are many approaches to the Software development process.</w:t>
        <w:br/>
        <w:t>Compiling takes the source code from a low-level programming language and converts it into machine code.</w:t>
        <w:br/>
        <w:t>The choice of language used is subject to many considerations, such as company policy, suitability to task, availability of third-party packages, or individual preference.</w:t>
        <w:br/>
        <w:t>Integrated development environments (IDEs) aim to integrate all such help.</w:t>
        <w:br/>
        <w:t>In the 9th century, the Arab mathematician Al-Kindi described a cryptographic algorithm for deciphering encrypted code, in A Manuscript on Deciphering Cryptographic Messages.</w:t>
        <w:br/>
        <w:t>Programming languages are essential for software development.</w:t>
        <w:br/>
        <w:t>Integrated development environments (IDEs) aim to integrate all such help.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