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Some text editors such as Emacs allow GDB to be invoked through them, to provide a visual environment.</w:t>
        <w:br/>
        <w:t>Programming involves tasks such as analysis, generating algorithms, profiling algorithms' accuracy and resource consumption, and the implementation of algorithms (usually in a particular programming language, commonly referred to as coding).</w:t>
        <w:br/>
        <w:t>Some text editors such as Emacs allow GDB to be invoked through them, to provide a visual environment.</w:t>
        <w:br/>
        <w:t>This is interpreted into machine code.</w:t>
        <w:b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In the 1880s, Herman Hollerith invented the concept of storing data in machine-readable form.</w:t>
        <w:br/>
        <w:t xml:space="preserve"> Machine code was the language of early programs, written in the instruction set of the particular machine, often in binary notation.</w:t>
        <w:br/>
        <w:t>When debugging the problem in a GUI, the programmer can try to skip some user interaction from the original problem description and check if remaining actions are sufficient for bugs to appear.</w:t>
        <w:br/>
        <w:t>Techniques like Code refactoring can enhance readability.</w:t>
        <w:br/>
        <w:t>Assembly languages were soon developed that let the programmer specify instruction in a text format (e.g., ADD X, TOTAL), with abbreviations for each operation code and meaningful names for specifying addresses.</w:t>
        <w:br/>
        <w:t>Languages form an approximate spectrum from "low-level" to "high-level"; "low-level" languages are typically more machine-oriented and faster to execute, whereas "high-level" languages are more abstract and easier to use but execute less quickly.</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