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Scripting and breakpointing is also part of this process.</w:t>
        <w:br/>
        <w:t>However, readability is more than just programming style.</w:t>
        <w:br/>
        <w:t>Many factors, having little or nothing to do with the ability of the computer to efficiently compile and execute the code, contribute to readability.</w:t>
        <w:br/>
        <w:t>There exist a lot of different approaches for each of those tasks.</w:t>
        <w:br/>
        <w:t>Some text editors such as Emacs allow GDB to be invoked through them, to provide a visual environment.</w:t>
        <w:br/>
        <w:t>Many factors, having little or nothing to do with the ability of the computer to efficiently compile and execute the code, contribute to readability.</w:t>
        <w:br/>
        <w:t>Integrated development environments (IDEs) aim to integrate all such help.</w:t>
        <w:br/>
        <w:t>A study found that a few simple readability transformations made code shorter and drastically reduced the time to understand it.</w:t>
        <w:br/>
        <w:t>Also, those involved with software development may at times engage in reverse engineering, which is the practice of seeking to understand an existing program so as to re-implement its function in some way.</w:t>
        <w:br/>
        <w:t>Trial-and-error/divide-and-conquer is needed: the programmer will try to remove some parts of the original test case and check if the problem still exists.</w:t>
        <w:br/>
        <w:t>Ideally, the programming language best suited for the task at hand will be selected.</w:t>
        <w:br/>
        <w:t>Many applications use a mix of several languages in their construction and use.</w:t>
        <w:br/>
        <w:t>There are many approaches to the Software development process.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