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By the late 1960s, data storage devices and computer terminals became inexpensive enough that programs could be created by typing directly into the computers.</w:t>
        <w:br/>
        <w:t>When debugging the problem in a GUI, the programmer can try to skip some user interaction from the original problem description and check if remaining actions are sufficient for bugs to appear.</w:t>
        <w:b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Techniques like Code refactoring can enhance readability.</w:t>
        <w:br/>
        <w:t>Trade-offs from this ideal involve finding enough programmers who know the language to build a team, the availability of compilers for that language, and the efficiency with which programs written in a given language execute.</w:t>
        <w:br/>
        <w:t>Assembly languages were soon developed that let the programmer specify instruction in a text format (e.g., ADD X, TOTAL), with abbreviations for each operation code and meaningful names for specifying addresses.</w:t>
        <w:br/>
        <w:t>Provided the functions in a library follow the appropriate run-time conventions (e.g., method of passing arguments), then these functions may be written in any other language.</w:t>
        <w:br/>
        <w:t>They are the building blocks for all software, from the simplest applications to the most sophisticated ones.</w:t>
        <w:br/>
        <w:t>Integrated development environments (IDEs) aim to integrate all such help.</w:t>
        <w:br/>
        <w:t>It is usually easier to code in "high-level" languages than in "low-level" ones.</w:t>
        <w:br/>
        <w:t xml:space="preserve"> Some languages are very popular for particular kinds of applications, while some languages are regularly used to write many different kinds of applications.</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