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However, readability is more than just programming style.</w:t>
        <w:br/>
        <w:t>However, because an assembly language is little more than a different notation for a machine language,  two machines with different instruction sets also have different assembly languages.</w:t>
        <w:br/>
        <w:t>It is usually easier to code in "high-level" languages than in "low-level" ones.</w:t>
        <w:br/>
        <w:t>Also, those involved with software development may at times engage in reverse engineering, which is the practice of seeking to understand an existing program so as to re-implement its function in some way.</w:t>
        <w:br/>
        <w:t>Also, those involved with software development may at times engage in reverse engineering, which is the practice of seeking to understand an existing program so as to re-implement its function in some way.</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following properties are among the most important:</w:t>
        <w:br/>
        <w:br/>
        <w:t xml:space="preserve"> In computer programming, readability refers to the ease with which a human reader can comprehend the purpose, control flow, and operation of source code.</w:t>
        <w:br/>
        <w:t xml:space="preserve"> The first computer program is generally dated to 1843, when mathematician Ada Lovelace published an algorithm to calculate a sequence of Bernoulli numbers, intended to be carried out by Charles Babbage's Analytical Engine.</w:t>
        <w:br/>
        <w:t xml:space="preserve"> The first step in most formal software development processes is requirements analysis, followed by testing to determine value modeling, implementation, and failure elimination (debugging).</w:t>
        <w:br/>
        <w:t>Relatedly, software engineering combines engineering techniques and principles with software development.</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