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Trial-and-error/divide-and-conquer is needed: the programmer will try to remove some parts of the original test case and check if the problem still exists.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readability is more than just programming style.</w:t>
        <w:br/>
        <w:t>Normally the first step in debugging is to attempt to reproduce the problem.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programmers use forms of Agile software development where the various stages of formal software development are more integrated together into short cycles that take a few weeks rather than years.</w:t>
        <w:br/>
        <w:t>Also, specific user environment and usage history can make it difficult to reproduce the problem.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Charles Babbage had already written his first program for the Analytical Engine in 1837.</w:t>
        <w:br/>
        <w:t>Some text editors such as Emacs allow GDB to be invoked through them, to provide a visual environment.</w:t>
        <w:br/>
        <w:t xml:space="preserve"> High-level languages made the process of developing a program simpler and more understandable, and less bound to the underlying hardware.</w:t>
        <w:br/>
        <w:t>For example, COBOL is still strong in corporate data centers often on large mainframe computers, Fortran in engineering applications, scripting languages in Web development, and C in embedded software.</w:t>
        <w:br/>
        <w:t>When debugging the problem in a GUI, the programmer can try to skip some user interaction from the original problem description and check if remaining actions are sufficient for bugs to appear.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