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Text editors were also developed that allowed changes and corrections to be made much more easily than with punched cards.</w:t>
        <w:br/>
        <w:t>Compiling takes the source code from a low-level programming language and converts it into machine code.</w:t>
        <w:br/>
        <w:t>Some text editors such as Emacs allow GDB to be invoked through them, to provide a visual environment.</w:t>
        <w:br/>
        <w:t>Trial-and-error/divide-and-conquer is needed: the programmer will try to remove some parts of the original test case and check if the problem still exists.</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Integrated development environments (IDEs) aim to integrate all such help.</w:t>
        <w:br/>
        <w:t xml:space="preserve"> Machine code was the language of early programs, written in the instruction set of the particular machine, often in binary notation.</w:t>
        <w:br/>
        <w:t>In 1801, the Jacquard loom could produce entirely different weaves by changing the "program" – a series of pasteboard cards with holes punched in them.</w:t>
        <w:br/>
        <w:t>This is interpreted into machine code.</w:t>
        <w:br/>
        <w:t xml:space="preserve"> Machine code was the language of early programs, written in the instruction set of the particular machine, often in binary notation.</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