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However, Charles Babbage had already written his first program for the Analytical Engine in 1837.</w:t>
        <w:br/>
        <w:t>Also, specific user environment and usage history can make it difficult to reproduce the problem.</w:t>
        <w:br/>
        <w:t>As early as the 9th century, a programmable music sequencer was invented by the Persian Banu Musa brothers, who described an automated mechanical flute player in the Book of Ingenious Devices.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However, because an assembly language is little more than a different notation for a machine language,  two machines with different instruction sets also have different assembly languages.</w:t>
        <w:br/>
        <w:t>Trade-offs from this ideal involve finding enough programmers who know the language to build a team, the availability of compilers for that language, and the efficiency with which programs written in a given language execute.</w:t>
        <w:br/>
        <w:t xml:space="preserve"> Following a consistent programming style often helps readability.</w:t>
        <w:br/>
        <w:t>Unreadable code often leads to bugs, inefficiencies, and duplicated code.</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