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 xml:space="preserve"> Different programming languages support different styles of programming (called programming paradigms).</w:t>
        <w:br/>
        <w:t>Compilers harnessed the power of computers to make programming easier by allowing programmers to specify calculations by entering a formula using infix notation.</w:t>
        <w:br/>
        <w:t>This is interpreted into machine code.</w:t>
        <w:br/>
        <w:t>However, readability is more than just programming style.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