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exist a lot of different approaches for each of those tasks.</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Techniques like Code refactoring can enhance readability.</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