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Use of a static code analysis tool can help detect some possible problems.</w:t>
        <w:br/>
        <w:t>As early as the 9th century, a programmable music sequencer was invented by the Persian Banu Musa brothers, who described an automated mechanical flute player in the Book of Ingenious Devices.</w:t>
        <w:br/>
        <w:t>The purpose of programming is to find a sequence of instructions that will automate the performance of a task (which can be as complex as an operating system) on a computer, often for solving a given problem.</w:t>
        <w:br/>
        <w:t>They are the building blocks for all software, from the simplest applications to the most sophisticated ones.</w:t>
        <w:br/>
        <w:t>Trade-offs from this ideal involve finding enough programmers who know the language to build a team, the availability of compilers for that language, and the efficiency with which programs written in a given language execute.</w:t>
        <w:br/>
        <w:t>For this purpose, algorithms are classified into orders using so-called Big O notation, which expresses resource use, such as execution time or memory consumption, in terms of the size of an input.</w:t>
        <w:br/>
        <w:t>Many factors, having little or nothing to do with the ability of the computer to efficiently compile and execute the code, contribute to readability.</w:t>
        <w:br/>
        <w:t>Relatedly, software engineering combines engineering techniques and principles with software development.</w:t>
        <w:br/>
        <w:t>He gave the first description of cryptanalysis by frequency analysis, the earliest code-breaking algorithm.</w:t>
        <w:br/>
        <w:t>Assembly languages were soon developed that let the programmer specify instruction in a text format (e.g., ADD X, TOTAL), with abbreviations for each operation code and meaningful names for specifying addresses.</w:t>
        <w:br/>
        <w:t>Use of a static code analysis tool can help detect some possible problems.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