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He gave the first description of cryptanalysis by frequency analysis, the earliest code-breaking algorithm.</w:t>
        <w:br/>
        <w:t>A study found that a few simple readability transformations made code shorter and drastically reduced the time to understand it.</w:t>
        <w:br/>
        <w:t>Many applications use a mix of several languages in their construction and use.</w:t>
        <w:br/>
        <w:t>As early as the 9th century, a programmable music sequencer was invented by the Persian Banu Musa brothers, who described an automated mechanical flute player in the Book of Ingenious Devices.</w:t>
        <w:br/>
        <w:t>By the late 1960s, data storage devices and computer terminals became inexpensive enough that programs could be created by typing directly into the computers.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Unified Modeling Language (UML) is a notation used for both the OOAD and MDA.</w:t>
        <w:br/>
        <w:t>Some text editors such as Emacs allow GDB to be invoked through them, to provide a visual environment.</w:t>
        <w:br/>
        <w:t>To produce machine code, the source code must either be compiled or transpiled.</w:t>
        <w:br/>
        <w:t>Trial-and-error/divide-and-conquer is needed: the programmer will try to remove some parts of the original test case and check if the problem still exists.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