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This can be a non-trivial task, for example as with parallel processes or some unusual software bugs.</w:t>
        <w:br/>
        <w:t>One approach popular for requirements analysis is Use Case analysis.</w:t>
        <w:br/>
        <w:t>In 1206, the Arab engineer Al-Jazari invented a programmable drum machine where a musical mechanical automaton could be made to play different rhythms and drum patterns, via pegs and cams.</w:t>
        <w:br/>
        <w:t>Transpiling on the other hand, takes the source-code from a high-level programming language and converts it into bytecode.</w:t>
        <w:br/>
        <w:t>In 1206, the Arab engineer Al-Jazari invented a programmable drum machine where a musical mechanical automaton could be made to play different rhythms and drum patterns, via pegs and cams.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Compiling takes the source code from a low-level programming language and converts it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br/>
        <w:t>Techniques like Code refactoring can enhance readability.</w:t>
        <w:br/>
        <w:t xml:space="preserve"> Whatever the approach to development may be, the final program must satisfy some fundamental properties.</w:t>
        <w:br/>
        <w:t>However, because an assembly language is little more than a different notation for a machine language,  two machines with different instruction sets also have different assembly languages.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