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As early as the 9th century, a programmable music sequencer was invented by the Persian Banu Musa brothers, who described an automated mechanical flute player in the Book of Ingenious Devices.</w:t>
        <w:br/>
        <w:t>It is usually easier to code in "high-level" languages than in "low-level" ones.</w:t>
        <w:br/>
        <w:t>Relatedly, software engineering combines engineering techniques and principles with software development.</w:t>
        <w:br/>
        <w:t>Some languages are more prone to some kinds of faults because their specification does not require compilers to perform as much checking as other languages.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It is usually easier to code in "high-level" languages than in "low-level" ones.</w:t>
        <w:br/>
        <w:t>The purpose of programming is to find a sequence of instructions that will automate the performance of a task (which can be as complex as an operating system) on a computer, often for solving a given problem.</w:t>
        <w:br/>
        <w:t>However, readability is more than just programming style.</w:t>
        <w:br/>
        <w:t>In 1801, the Jacquard loom could produce entirely different weaves by changing the "program" – a series of pasteboard cards with holes punched in them.</w:t>
        <w:br/>
        <w:t xml:space="preserve"> It is very difficult to determine what are the most popular modern programming languages.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Implementation techniques include imperative languages (object-oriented or procedural), functional languages, and logic languages.</w:t>
        <w:br/>
        <w:t>FORTRAN, the first widely used high-level language to have a functional implementation, came out in 1957, and many other languages were soon developed—in particular, COBOL aimed at commercial data processing, and Lisp for computer research.</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