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Scripting and breakpointing is also part of this process.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Integrated development environments (IDEs) aim to integrate all such help.</w:t>
        <w:br/>
        <w:t>When debugging the problem in a GUI, the programmer can try to skip some user interaction from the original problem description and check if remaining actions are sufficient for bugs to appear.</w:t>
        <w:br/>
        <w:t>Some languages are more prone to some kinds of faults because their specification does not require compilers to perform as much checking as other languages.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Compilers harnessed the power of computers to make programming easier by allowing programmers to specify calculations by entering a formula using infix notation.</w:t>
        <w:br/>
        <w:t>Expert programmers are familiar with a variety of well-established algorithms and their respective complexities and use this knowledge to choose algorithms that are best suited to the circumstances.</w:t>
        <w:br/>
        <w:t>Provided the functions in a library follow the appropriate run-time conventions (e.g., method of passing arguments), then these functions may be written in any other language.</w:t>
        <w:br/>
        <w:t>They are the building blocks for all software, from the simplest applications to the most sophisticated ones.</w:t>
        <w:br/>
        <w:t>Ideally, the programming language best suited for the task at hand will be selected.</w:t>
        <w:br/>
        <w:br/>
        <w:t>The first compiler related tool, the A-0 System, was developed in 1952 by Grace Hopper, who also coined the term 'compiler'.</w:t>
        <w:br/>
        <w:t>He gave the first description of cryptanalysis by frequency analysis, the earliest code-breaking algorithm.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