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The Unified Modeling Language (UML) is a notation used for both the OOAD and MDA.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By the late 1960s, data storage devices and computer terminals became inexpensive enough that programs could be created by typing directly into the computers.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