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Ideally, the programming language best suited for the task at hand will be selected.</w:t>
        <w:br/>
        <w:t>Transpiling on the other hand, takes the source-code from a high-level programming language and converts it into bytecode.</w:t>
        <w:br/>
        <w:t>The choice of language used is subject to many considerations, such as company policy, suitability to task, availability of third-party packages, or individual preference.</w:t>
        <w:br/>
        <w:t>Use of a static code analysis tool can help detect some possible problems.</w:t>
        <w:br/>
        <w:t>One approach popular for requirements analysis is Use Case analysis.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br/>
        <w:t>Compilers harnessed the power of computers to make programming easier by allowing programmers to specify calculations by entering a formula using infix notation.</w:t>
        <w:br/>
        <w:t xml:space="preserve"> Whatever the approach to development may be, the final program must satisfy some fundamental properties.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choice of language used is subject to many considerations, such as company policy, suitability to task, availability of third-party packages, or individual preference.</w:t>
        <w:br/>
        <w:t>In the 9th century, the Arab mathematician Al-Kindi described a cryptographic algorithm for deciphering encrypted code, in A Manuscript on Deciphering Cryptographic Messages.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